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3B3" w:rsidRDefault="005433B3" w:rsidP="00543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8783C">
        <w:rPr>
          <w:b/>
          <w:i/>
          <w:noProof/>
          <w:sz w:val="28"/>
        </w:rPr>
        <w:t>5204</w:t>
      </w:r>
      <w:bookmarkStart w:id="0" w:name="_GoBack"/>
      <w:bookmarkEnd w:id="0"/>
    </w:p>
    <w:p w:rsidR="005433B3" w:rsidRDefault="005433B3" w:rsidP="005433B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2843">
        <w:rPr>
          <w:rFonts w:ascii="Arial" w:hAnsi="Arial" w:cs="Arial"/>
          <w:b/>
        </w:rPr>
        <w:t>NRM modelling of SliceProfile</w:t>
      </w:r>
      <w:r w:rsidR="00F01BA5">
        <w:rPr>
          <w:rFonts w:ascii="Arial" w:hAnsi="Arial" w:cs="Arial"/>
          <w:b/>
        </w:rPr>
        <w:t xml:space="preserve"> for RAN domain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F2067">
        <w:rPr>
          <w:rFonts w:ascii="Arial" w:hAnsi="Arial"/>
          <w:b/>
        </w:rPr>
        <w:t>Endorsement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74FE8">
        <w:rPr>
          <w:rFonts w:ascii="Arial" w:hAnsi="Arial"/>
          <w:b/>
        </w:rPr>
        <w:t>Agenda Item:</w:t>
      </w:r>
      <w:r w:rsidRPr="00874FE8">
        <w:rPr>
          <w:rFonts w:ascii="Arial" w:hAnsi="Arial"/>
          <w:b/>
        </w:rPr>
        <w:tab/>
      </w:r>
      <w:r w:rsidR="006A5C69" w:rsidRPr="00874FE8">
        <w:rPr>
          <w:rFonts w:ascii="Arial" w:hAnsi="Arial"/>
          <w:b/>
        </w:rPr>
        <w:t>6.</w:t>
      </w:r>
      <w:r w:rsidR="007E6204">
        <w:rPr>
          <w:rFonts w:ascii="Arial" w:hAnsi="Arial"/>
          <w:b/>
        </w:rPr>
        <w:t>4</w:t>
      </w:r>
      <w:r w:rsidR="006A5C69" w:rsidRPr="00874FE8">
        <w:rPr>
          <w:rFonts w:ascii="Arial" w:hAnsi="Arial"/>
          <w:b/>
        </w:rPr>
        <w:t>.</w:t>
      </w:r>
      <w:r w:rsidR="007E6204">
        <w:rPr>
          <w:rFonts w:ascii="Arial" w:hAnsi="Arial"/>
          <w:b/>
        </w:rPr>
        <w:t>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01B9A" w:rsidRPr="00D01B9A" w:rsidRDefault="00D01B9A" w:rsidP="00A62843">
      <w:pPr>
        <w:pStyle w:val="Reference"/>
      </w:pPr>
      <w:r w:rsidRPr="00D01B9A">
        <w:t>[1]</w:t>
      </w:r>
      <w:r w:rsidRPr="00D01B9A">
        <w:tab/>
        <w:t>TS 28.5</w:t>
      </w:r>
      <w:r w:rsidR="00A62843">
        <w:t>41</w:t>
      </w:r>
      <w:r w:rsidRPr="00D01B9A">
        <w:t xml:space="preserve"> </w:t>
      </w:r>
      <w:r w:rsidR="00A62843">
        <w:t>5G Network Resource Model (NRM) stage 2 and stage 3</w:t>
      </w:r>
      <w:r w:rsidRPr="00D01B9A">
        <w:t xml:space="preserve"> </w:t>
      </w:r>
      <w:r w:rsidR="00EC0BC3">
        <w:t>v17.0.0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2F68DE" w:rsidRDefault="00FC58A9">
      <w:pPr>
        <w:rPr>
          <w:iCs/>
        </w:rPr>
      </w:pPr>
      <w:r w:rsidRPr="00FC58A9">
        <w:rPr>
          <w:iCs/>
        </w:rPr>
        <w:t xml:space="preserve">A SliceProfile represents </w:t>
      </w:r>
      <w:r>
        <w:rPr>
          <w:iCs/>
        </w:rPr>
        <w:t xml:space="preserve">network service </w:t>
      </w:r>
      <w:r w:rsidRPr="00FC58A9">
        <w:rPr>
          <w:iCs/>
        </w:rPr>
        <w:t>customer requirements</w:t>
      </w:r>
      <w:r>
        <w:rPr>
          <w:iCs/>
        </w:rPr>
        <w:t xml:space="preserve">, meanwhile, a </w:t>
      </w:r>
      <w:r w:rsidR="004A7E18">
        <w:rPr>
          <w:iCs/>
        </w:rPr>
        <w:t>S</w:t>
      </w:r>
      <w:r>
        <w:rPr>
          <w:iCs/>
        </w:rPr>
        <w:t xml:space="preserve">liceProfile is a unit for </w:t>
      </w:r>
      <w:r w:rsidRPr="00FC58A9">
        <w:rPr>
          <w:iCs/>
        </w:rPr>
        <w:t>SLA assurance and network resource allocation</w:t>
      </w:r>
      <w:r w:rsidR="00515D84">
        <w:rPr>
          <w:iCs/>
        </w:rPr>
        <w:t xml:space="preserve"> in the network </w:t>
      </w:r>
      <w:r w:rsidR="00396075">
        <w:rPr>
          <w:iCs/>
        </w:rPr>
        <w:t xml:space="preserve">slice </w:t>
      </w:r>
      <w:r w:rsidR="00515D84">
        <w:rPr>
          <w:iCs/>
        </w:rPr>
        <w:t xml:space="preserve">subnet </w:t>
      </w:r>
      <w:r w:rsidR="00396075">
        <w:rPr>
          <w:iCs/>
        </w:rPr>
        <w:t xml:space="preserve">(NSS) </w:t>
      </w:r>
      <w:r w:rsidR="00515D84">
        <w:rPr>
          <w:iCs/>
        </w:rPr>
        <w:t>domain</w:t>
      </w:r>
      <w:r w:rsidR="00F15ADC">
        <w:rPr>
          <w:iCs/>
        </w:rPr>
        <w:t xml:space="preserve"> such as 5GC domain, NG-RAN domain</w:t>
      </w:r>
      <w:r w:rsidR="00396075">
        <w:rPr>
          <w:iCs/>
        </w:rPr>
        <w:t>, see figure below.</w:t>
      </w:r>
    </w:p>
    <w:p w:rsidR="00A62843" w:rsidRDefault="00FB7150">
      <w:r>
        <w:pict w14:anchorId="540D46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316.8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:rsidR="00896F12" w:rsidRDefault="00896F12"/>
    <w:p w:rsidR="00896F12" w:rsidRPr="00FC58A9" w:rsidRDefault="00896F12" w:rsidP="00896F12">
      <w:pPr>
        <w:rPr>
          <w:iCs/>
        </w:rPr>
      </w:pPr>
      <w:r>
        <w:rPr>
          <w:iCs/>
        </w:rPr>
        <w:t xml:space="preserve">As representing network service </w:t>
      </w:r>
      <w:r w:rsidRPr="00FC58A9">
        <w:rPr>
          <w:iCs/>
        </w:rPr>
        <w:t>customer requirements</w:t>
      </w:r>
      <w:r>
        <w:rPr>
          <w:iCs/>
        </w:rPr>
        <w:t>, the SliceProfile</w:t>
      </w:r>
      <w:r w:rsidRPr="00FC58A9">
        <w:rPr>
          <w:iCs/>
        </w:rPr>
        <w:t xml:space="preserve"> includes the following aspects: </w:t>
      </w:r>
    </w:p>
    <w:p w:rsidR="00896F12" w:rsidRPr="00FC58A9" w:rsidRDefault="00896F12" w:rsidP="00896F12">
      <w:pPr>
        <w:rPr>
          <w:iCs/>
        </w:rPr>
      </w:pPr>
      <w:r>
        <w:rPr>
          <w:iCs/>
        </w:rPr>
        <w:t xml:space="preserve">- </w:t>
      </w:r>
      <w:r w:rsidRPr="00FC58A9">
        <w:rPr>
          <w:iCs/>
        </w:rPr>
        <w:t>Number of UEs</w:t>
      </w:r>
      <w:r>
        <w:rPr>
          <w:iCs/>
        </w:rPr>
        <w:t>.</w:t>
      </w:r>
    </w:p>
    <w:p w:rsidR="00896F12" w:rsidRPr="00FC58A9" w:rsidRDefault="00896F12" w:rsidP="00896F12">
      <w:pPr>
        <w:rPr>
          <w:iCs/>
        </w:rPr>
      </w:pPr>
      <w:r>
        <w:rPr>
          <w:iCs/>
        </w:rPr>
        <w:t xml:space="preserve">- Coverage area and </w:t>
      </w:r>
      <w:r w:rsidRPr="00FC58A9">
        <w:rPr>
          <w:iCs/>
        </w:rPr>
        <w:t>UE distribution</w:t>
      </w:r>
      <w:r>
        <w:rPr>
          <w:iCs/>
        </w:rPr>
        <w:t>.</w:t>
      </w:r>
      <w:r w:rsidRPr="00FC58A9">
        <w:rPr>
          <w:iCs/>
        </w:rPr>
        <w:t xml:space="preserve"> If no specific </w:t>
      </w:r>
      <w:r>
        <w:rPr>
          <w:iCs/>
        </w:rPr>
        <w:t xml:space="preserve">UE distribution </w:t>
      </w:r>
      <w:r w:rsidRPr="00FC58A9">
        <w:rPr>
          <w:iCs/>
        </w:rPr>
        <w:t xml:space="preserve">is provided, it is assumed that </w:t>
      </w:r>
      <w:r>
        <w:rPr>
          <w:iCs/>
        </w:rPr>
        <w:t xml:space="preserve">all </w:t>
      </w:r>
      <w:r w:rsidRPr="00FC58A9">
        <w:rPr>
          <w:iCs/>
        </w:rPr>
        <w:t xml:space="preserve">UEs are randomly distributed (for example, evenly distributed) </w:t>
      </w:r>
      <w:r>
        <w:rPr>
          <w:iCs/>
        </w:rPr>
        <w:t xml:space="preserve">in the </w:t>
      </w:r>
      <w:r w:rsidR="0063626A">
        <w:rPr>
          <w:iCs/>
        </w:rPr>
        <w:t xml:space="preserve">whole </w:t>
      </w:r>
      <w:r>
        <w:rPr>
          <w:iCs/>
        </w:rPr>
        <w:t xml:space="preserve">coverage area (presented by the attribute </w:t>
      </w:r>
      <w:r w:rsidRPr="002B15AA">
        <w:rPr>
          <w:rFonts w:ascii="Courier New" w:hAnsi="Courier New" w:cs="Courier New"/>
          <w:szCs w:val="18"/>
          <w:lang w:eastAsia="zh-CN"/>
        </w:rPr>
        <w:t>coverageArea</w:t>
      </w:r>
      <w:r>
        <w:rPr>
          <w:rFonts w:ascii="Courier New" w:hAnsi="Courier New" w:cs="Courier New"/>
          <w:szCs w:val="18"/>
          <w:lang w:eastAsia="zh-CN"/>
        </w:rPr>
        <w:t xml:space="preserve"> </w:t>
      </w:r>
      <w:r w:rsidRPr="00836FAC">
        <w:rPr>
          <w:iCs/>
        </w:rPr>
        <w:t>of ServiceProfile</w:t>
      </w:r>
      <w:r>
        <w:rPr>
          <w:iCs/>
        </w:rPr>
        <w:t xml:space="preserve">) </w:t>
      </w:r>
      <w:r w:rsidRPr="00FC58A9">
        <w:rPr>
          <w:iCs/>
        </w:rPr>
        <w:t xml:space="preserve">according to a certain probability distribution. </w:t>
      </w:r>
      <w:r>
        <w:rPr>
          <w:iCs/>
        </w:rPr>
        <w:t>However, d</w:t>
      </w:r>
      <w:r w:rsidRPr="00FC58A9">
        <w:rPr>
          <w:iCs/>
        </w:rPr>
        <w:t xml:space="preserve">ifferent </w:t>
      </w:r>
      <w:r>
        <w:rPr>
          <w:iCs/>
        </w:rPr>
        <w:t xml:space="preserve">UE </w:t>
      </w:r>
      <w:r w:rsidRPr="00FC58A9">
        <w:rPr>
          <w:iCs/>
        </w:rPr>
        <w:t xml:space="preserve">distribution modes have </w:t>
      </w:r>
      <w:r>
        <w:rPr>
          <w:iCs/>
        </w:rPr>
        <w:t>significant</w:t>
      </w:r>
      <w:r w:rsidRPr="00FC58A9">
        <w:rPr>
          <w:iCs/>
        </w:rPr>
        <w:t xml:space="preserve"> impact on SLA</w:t>
      </w:r>
      <w:r>
        <w:rPr>
          <w:iCs/>
        </w:rPr>
        <w:t xml:space="preserve"> assurance</w:t>
      </w:r>
      <w:r w:rsidRPr="00FC58A9">
        <w:rPr>
          <w:iCs/>
        </w:rPr>
        <w:t xml:space="preserve">, and </w:t>
      </w:r>
      <w:r>
        <w:rPr>
          <w:iCs/>
        </w:rPr>
        <w:t xml:space="preserve">also </w:t>
      </w:r>
      <w:r w:rsidRPr="00FC58A9">
        <w:rPr>
          <w:iCs/>
        </w:rPr>
        <w:t>the cost of ensuring the SLA</w:t>
      </w:r>
      <w:r>
        <w:rPr>
          <w:iCs/>
        </w:rPr>
        <w:t xml:space="preserve">. Therefore, for RAN domain planning </w:t>
      </w:r>
      <w:r>
        <w:rPr>
          <w:iCs/>
        </w:rPr>
        <w:lastRenderedPageBreak/>
        <w:t>purpose, a further list of refined (means smaller in the geographic area) coverage area and its UE distribution would be very helpful for reaching a finer granularity of SLA assurance.</w:t>
      </w:r>
    </w:p>
    <w:p w:rsidR="00896F12" w:rsidRPr="00FC58A9" w:rsidRDefault="00896F12" w:rsidP="00896F12">
      <w:pPr>
        <w:rPr>
          <w:iCs/>
        </w:rPr>
      </w:pPr>
      <w:r>
        <w:rPr>
          <w:iCs/>
        </w:rPr>
        <w:t>- The service flow(s) used by each UE.</w:t>
      </w:r>
      <w:r w:rsidRPr="00FC58A9">
        <w:rPr>
          <w:iCs/>
        </w:rPr>
        <w:t xml:space="preserve"> </w:t>
      </w:r>
      <w:r>
        <w:rPr>
          <w:iCs/>
        </w:rPr>
        <w:t xml:space="preserve">Service type of service flow may include eMBB, URLLC, MIoT, V2X, etc. </w:t>
      </w:r>
      <w:r w:rsidRPr="00FC58A9">
        <w:rPr>
          <w:iCs/>
        </w:rPr>
        <w:t xml:space="preserve">If multiple </w:t>
      </w:r>
      <w:r>
        <w:rPr>
          <w:iCs/>
        </w:rPr>
        <w:t>service flows</w:t>
      </w:r>
      <w:r w:rsidRPr="00FC58A9">
        <w:rPr>
          <w:iCs/>
        </w:rPr>
        <w:t xml:space="preserve"> are used</w:t>
      </w:r>
      <w:r>
        <w:rPr>
          <w:iCs/>
        </w:rPr>
        <w:t xml:space="preserve"> by one UE</w:t>
      </w:r>
      <w:r w:rsidRPr="00FC58A9">
        <w:rPr>
          <w:iCs/>
        </w:rPr>
        <w:t>, the requirement</w:t>
      </w:r>
      <w:r>
        <w:rPr>
          <w:iCs/>
        </w:rPr>
        <w:t>s</w:t>
      </w:r>
      <w:r w:rsidRPr="00FC58A9">
        <w:rPr>
          <w:iCs/>
        </w:rPr>
        <w:t xml:space="preserve"> must be clearly stated.</w:t>
      </w:r>
      <w:r>
        <w:rPr>
          <w:iCs/>
        </w:rPr>
        <w:t xml:space="preserve"> </w:t>
      </w:r>
      <w:r w:rsidRPr="00515D84">
        <w:rPr>
          <w:iCs/>
        </w:rPr>
        <w:t xml:space="preserve">Packets sent by the </w:t>
      </w:r>
      <w:r>
        <w:rPr>
          <w:iCs/>
        </w:rPr>
        <w:t>service flow</w:t>
      </w:r>
      <w:r w:rsidRPr="00515D84">
        <w:rPr>
          <w:iCs/>
        </w:rPr>
        <w:t xml:space="preserve"> of each UE APP are described by the following attributes: packet size, packet interval, packet transmission delay, and the like.</w:t>
      </w:r>
    </w:p>
    <w:p w:rsidR="00896F12" w:rsidRDefault="00896F12" w:rsidP="00896F12">
      <w:pPr>
        <w:rPr>
          <w:iCs/>
        </w:rPr>
      </w:pPr>
      <w:r>
        <w:rPr>
          <w:iCs/>
        </w:rPr>
        <w:t>- Service t</w:t>
      </w:r>
      <w:r w:rsidRPr="00FC58A9">
        <w:rPr>
          <w:iCs/>
        </w:rPr>
        <w:t xml:space="preserve">ransaction association </w:t>
      </w:r>
      <w:r>
        <w:rPr>
          <w:iCs/>
        </w:rPr>
        <w:t xml:space="preserve">(for example, UEs belongs to the same product line in one factory may have service transaction </w:t>
      </w:r>
      <w:r w:rsidR="0063626A" w:rsidRPr="00BE35E3">
        <w:rPr>
          <w:iCs/>
        </w:rPr>
        <w:t xml:space="preserve">affinity </w:t>
      </w:r>
      <w:r>
        <w:rPr>
          <w:iCs/>
        </w:rPr>
        <w:t xml:space="preserve">due to their same service requirements, whilst UEs belongs to the different production lines may have no service transaction </w:t>
      </w:r>
      <w:r w:rsidR="0063626A" w:rsidRPr="00BE35E3">
        <w:rPr>
          <w:iCs/>
        </w:rPr>
        <w:t xml:space="preserve">affinity </w:t>
      </w:r>
      <w:r>
        <w:rPr>
          <w:iCs/>
        </w:rPr>
        <w:t xml:space="preserve">because they have no common service requirements) </w:t>
      </w:r>
      <w:r w:rsidRPr="00FC58A9">
        <w:rPr>
          <w:iCs/>
        </w:rPr>
        <w:t>between all UEs of a service customer</w:t>
      </w:r>
      <w:r>
        <w:rPr>
          <w:iCs/>
        </w:rPr>
        <w:t>.</w:t>
      </w:r>
    </w:p>
    <w:p w:rsidR="00896F12" w:rsidRDefault="00896F12" w:rsidP="00896F12">
      <w:pPr>
        <w:ind w:left="568"/>
        <w:rPr>
          <w:iCs/>
        </w:rPr>
      </w:pPr>
      <w:r>
        <w:rPr>
          <w:iCs/>
        </w:rPr>
        <w:t xml:space="preserve">- </w:t>
      </w:r>
      <w:r w:rsidRPr="00FC58A9">
        <w:rPr>
          <w:iCs/>
        </w:rPr>
        <w:t xml:space="preserve">For example, </w:t>
      </w:r>
      <w:r>
        <w:rPr>
          <w:iCs/>
        </w:rPr>
        <w:t>in case UE A1 and UE A2 have transaction association</w:t>
      </w:r>
      <w:r w:rsidR="0063626A">
        <w:rPr>
          <w:iCs/>
        </w:rPr>
        <w:t xml:space="preserve"> </w:t>
      </w:r>
      <w:r w:rsidR="0063626A" w:rsidRPr="00BE35E3">
        <w:rPr>
          <w:iCs/>
        </w:rPr>
        <w:t xml:space="preserve">affinity </w:t>
      </w:r>
      <w:r>
        <w:rPr>
          <w:iCs/>
        </w:rPr>
        <w:t>with each other, then UE A1 and UE A2 should be described in the same UE group</w:t>
      </w:r>
      <w:r w:rsidR="0063626A">
        <w:rPr>
          <w:iCs/>
        </w:rPr>
        <w:t xml:space="preserve"> and same coverage area</w:t>
      </w:r>
      <w:r w:rsidRPr="00FC58A9">
        <w:rPr>
          <w:iCs/>
        </w:rPr>
        <w:t>.</w:t>
      </w:r>
    </w:p>
    <w:p w:rsidR="00896F12" w:rsidRDefault="00896F12" w:rsidP="00896F12">
      <w:pPr>
        <w:ind w:left="568"/>
        <w:rPr>
          <w:iCs/>
        </w:rPr>
      </w:pPr>
      <w:r>
        <w:rPr>
          <w:iCs/>
        </w:rPr>
        <w:t xml:space="preserve">- </w:t>
      </w:r>
      <w:r w:rsidRPr="00FC58A9">
        <w:rPr>
          <w:iCs/>
        </w:rPr>
        <w:t xml:space="preserve">For example, </w:t>
      </w:r>
      <w:r>
        <w:rPr>
          <w:iCs/>
        </w:rPr>
        <w:t xml:space="preserve">in case UE A1 and UE A4 have no transaction association </w:t>
      </w:r>
      <w:r w:rsidR="0063626A" w:rsidRPr="00BE35E3">
        <w:rPr>
          <w:iCs/>
        </w:rPr>
        <w:t xml:space="preserve">affinity </w:t>
      </w:r>
      <w:r>
        <w:rPr>
          <w:iCs/>
        </w:rPr>
        <w:t>with each other, then UE A1 and UE A4 should be described in different UE groups</w:t>
      </w:r>
      <w:r w:rsidR="0063626A">
        <w:rPr>
          <w:iCs/>
        </w:rPr>
        <w:t xml:space="preserve"> and coverage areas</w:t>
      </w:r>
      <w:r w:rsidRPr="00FC58A9">
        <w:rPr>
          <w:iCs/>
        </w:rPr>
        <w:t>.</w:t>
      </w:r>
    </w:p>
    <w:p w:rsidR="00896F12" w:rsidRDefault="00896F12" w:rsidP="00896F12">
      <w:pPr>
        <w:rPr>
          <w:iCs/>
        </w:rPr>
      </w:pPr>
    </w:p>
    <w:p w:rsidR="00896F12" w:rsidRDefault="00896F12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7F2067" w:rsidRPr="00BE35E3" w:rsidRDefault="007F2067" w:rsidP="007F2067">
      <w:pPr>
        <w:rPr>
          <w:b/>
          <w:iCs/>
        </w:rPr>
      </w:pPr>
      <w:bookmarkStart w:id="1" w:name="_Toc5114133"/>
      <w:bookmarkStart w:id="2" w:name="OLE_LINK1"/>
      <w:bookmarkStart w:id="3" w:name="OLE_LINK2"/>
      <w:bookmarkStart w:id="4" w:name="_Toc5114131"/>
      <w:r w:rsidRPr="00BE35E3">
        <w:rPr>
          <w:b/>
          <w:iCs/>
        </w:rPr>
        <w:t xml:space="preserve">Based on the discussion above, it is suggested to model the </w:t>
      </w:r>
      <w:r w:rsidR="00F01BA5">
        <w:rPr>
          <w:b/>
          <w:iCs/>
        </w:rPr>
        <w:t xml:space="preserve">RAN domain </w:t>
      </w:r>
      <w:r w:rsidRPr="00BE35E3">
        <w:rPr>
          <w:b/>
          <w:iCs/>
        </w:rPr>
        <w:t>SliceProfile in the following way</w:t>
      </w:r>
      <w:r w:rsidR="00BE35E3" w:rsidRPr="00BE35E3">
        <w:t xml:space="preserve"> </w:t>
      </w:r>
      <w:r w:rsidR="00BE35E3" w:rsidRPr="00BE35E3">
        <w:rPr>
          <w:b/>
          <w:iCs/>
        </w:rPr>
        <w:t>to support multi-CoverageArea, multi-UEGroup, and multi-ServiceFlow</w:t>
      </w:r>
      <w:r w:rsidRPr="00BE35E3">
        <w:rPr>
          <w:b/>
          <w:iCs/>
        </w:rPr>
        <w:t>:</w:t>
      </w:r>
    </w:p>
    <w:p w:rsidR="007F2067" w:rsidRDefault="007F2067" w:rsidP="007F2067">
      <w:pPr>
        <w:rPr>
          <w:iCs/>
        </w:rPr>
      </w:pPr>
    </w:p>
    <w:p w:rsidR="007F2067" w:rsidRDefault="005433B3" w:rsidP="007F2067">
      <w:pPr>
        <w:jc w:val="center"/>
        <w:rPr>
          <w:iCs/>
        </w:rPr>
      </w:pPr>
      <w:r>
        <w:rPr>
          <w:noProof/>
          <w:lang w:eastAsia="zh-CN"/>
        </w:rPr>
        <w:pict>
          <v:shape id="_x0000_i1026" type="#_x0000_t75" style="width:481.8pt;height:306.7pt;visibility:visible;mso-wrap-style:square">
            <v:imagedata r:id="rId8" o:title=""/>
          </v:shape>
        </w:pict>
      </w:r>
    </w:p>
    <w:p w:rsidR="0084280C" w:rsidRDefault="0084280C" w:rsidP="00F036A7">
      <w:pPr>
        <w:rPr>
          <w:b/>
          <w:iCs/>
        </w:rPr>
      </w:pPr>
    </w:p>
    <w:p w:rsidR="00FE32BD" w:rsidRPr="00BE35E3" w:rsidRDefault="00660B87" w:rsidP="00F036A7">
      <w:pPr>
        <w:rPr>
          <w:b/>
          <w:iCs/>
        </w:rPr>
      </w:pPr>
      <w:r w:rsidRPr="00BE35E3">
        <w:rPr>
          <w:b/>
          <w:iCs/>
        </w:rPr>
        <w:t>To summarize</w:t>
      </w:r>
      <w:r w:rsidR="00BE35E3" w:rsidRPr="00BE35E3">
        <w:rPr>
          <w:rFonts w:hint="eastAsia"/>
          <w:b/>
          <w:iCs/>
          <w:lang w:eastAsia="zh-CN"/>
        </w:rPr>
        <w:t>:</w:t>
      </w:r>
    </w:p>
    <w:p w:rsidR="00F036A7" w:rsidRPr="00D55747" w:rsidRDefault="00FE32BD" w:rsidP="00F036A7">
      <w:pPr>
        <w:numPr>
          <w:ilvl w:val="0"/>
          <w:numId w:val="22"/>
        </w:numPr>
        <w:rPr>
          <w:b/>
          <w:iCs/>
        </w:rPr>
      </w:pPr>
      <w:r w:rsidRPr="00D55747">
        <w:rPr>
          <w:b/>
          <w:iCs/>
        </w:rPr>
        <w:t xml:space="preserve">To support </w:t>
      </w:r>
      <w:r w:rsidR="00F036A7" w:rsidRPr="00D55747">
        <w:rPr>
          <w:b/>
          <w:iCs/>
        </w:rPr>
        <w:t xml:space="preserve">different </w:t>
      </w:r>
      <w:r w:rsidRPr="00D55747">
        <w:rPr>
          <w:b/>
          <w:iCs/>
        </w:rPr>
        <w:t>UE distribution</w:t>
      </w:r>
      <w:r w:rsidR="0063626A">
        <w:rPr>
          <w:b/>
          <w:iCs/>
        </w:rPr>
        <w:t>s</w:t>
      </w:r>
      <w:r w:rsidRPr="00D55747">
        <w:rPr>
          <w:b/>
          <w:iCs/>
        </w:rPr>
        <w:t>, there may be multiple coverage areas and the corresponding UE groups.</w:t>
      </w:r>
    </w:p>
    <w:p w:rsidR="00D55747" w:rsidRPr="00D50B11" w:rsidRDefault="00D55747" w:rsidP="00F036A7">
      <w:pPr>
        <w:numPr>
          <w:ilvl w:val="1"/>
          <w:numId w:val="22"/>
        </w:numPr>
        <w:rPr>
          <w:b/>
          <w:iCs/>
        </w:rPr>
      </w:pPr>
      <w:r w:rsidRPr="00D50B11">
        <w:rPr>
          <w:b/>
          <w:iCs/>
        </w:rPr>
        <w:t xml:space="preserve">Coverage area </w:t>
      </w:r>
      <w:r w:rsidR="00D50B11" w:rsidRPr="00D50B11">
        <w:rPr>
          <w:b/>
          <w:iCs/>
        </w:rPr>
        <w:t>is</w:t>
      </w:r>
      <w:r w:rsidRPr="00D50B11">
        <w:rPr>
          <w:b/>
          <w:iCs/>
        </w:rPr>
        <w:t xml:space="preserve"> described by the following attributes:</w:t>
      </w:r>
    </w:p>
    <w:p w:rsidR="00D50B11" w:rsidRDefault="00D50B11" w:rsidP="00D50B11">
      <w:pPr>
        <w:numPr>
          <w:ilvl w:val="2"/>
          <w:numId w:val="22"/>
        </w:numPr>
        <w:rPr>
          <w:iCs/>
        </w:rPr>
      </w:pPr>
      <w:r>
        <w:rPr>
          <w:iCs/>
        </w:rPr>
        <w:t>coverage</w:t>
      </w:r>
      <w:r w:rsidR="008E1C59">
        <w:rPr>
          <w:iCs/>
        </w:rPr>
        <w:t>Area</w:t>
      </w:r>
      <w:r>
        <w:rPr>
          <w:iCs/>
        </w:rPr>
        <w:t>Name: string</w:t>
      </w:r>
    </w:p>
    <w:p w:rsidR="00D50B11" w:rsidRPr="00D50B11" w:rsidRDefault="009C7C10" w:rsidP="00D50B11">
      <w:pPr>
        <w:numPr>
          <w:ilvl w:val="2"/>
          <w:numId w:val="22"/>
        </w:numPr>
        <w:rPr>
          <w:iCs/>
        </w:rPr>
      </w:pPr>
      <w:r>
        <w:rPr>
          <w:iCs/>
        </w:rPr>
        <w:lastRenderedPageBreak/>
        <w:t>coverageArea</w:t>
      </w:r>
      <w:r w:rsidR="00D50B11" w:rsidRPr="00D50B11">
        <w:rPr>
          <w:iCs/>
        </w:rPr>
        <w:t>TAList: List</w:t>
      </w:r>
    </w:p>
    <w:p w:rsidR="00D50B11" w:rsidRDefault="009C7C10" w:rsidP="00F563BF">
      <w:pPr>
        <w:numPr>
          <w:ilvl w:val="2"/>
          <w:numId w:val="22"/>
        </w:numPr>
        <w:rPr>
          <w:iCs/>
        </w:rPr>
      </w:pPr>
      <w:r>
        <w:rPr>
          <w:iCs/>
        </w:rPr>
        <w:t>coverageArea</w:t>
      </w:r>
      <w:r w:rsidR="00D50B11" w:rsidRPr="00D50B11">
        <w:rPr>
          <w:iCs/>
        </w:rPr>
        <w:t>GeoPolygon: string</w:t>
      </w:r>
    </w:p>
    <w:p w:rsidR="00D50B11" w:rsidRDefault="00D50B11" w:rsidP="00D50B11">
      <w:pPr>
        <w:numPr>
          <w:ilvl w:val="1"/>
          <w:numId w:val="22"/>
        </w:numPr>
        <w:rPr>
          <w:iCs/>
        </w:rPr>
      </w:pPr>
      <w:r w:rsidRPr="00D50B11">
        <w:rPr>
          <w:b/>
          <w:iCs/>
        </w:rPr>
        <w:t>UE group is described by the following attributes</w:t>
      </w:r>
      <w:r>
        <w:rPr>
          <w:iCs/>
        </w:rPr>
        <w:t>:</w:t>
      </w:r>
    </w:p>
    <w:p w:rsidR="00D50B11" w:rsidRP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uEGroupName: string</w:t>
      </w:r>
    </w:p>
    <w:p w:rsidR="00D50B11" w:rsidRP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serviceFlowList: List</w:t>
      </w:r>
    </w:p>
    <w:p w:rsidR="00D50B11" w:rsidRP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maxNumberofUEs: int</w:t>
      </w:r>
    </w:p>
    <w:p w:rsidR="00D50B11" w:rsidRP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activityFactor: int</w:t>
      </w:r>
    </w:p>
    <w:p w:rsidR="00D50B11" w:rsidRDefault="00D50B11" w:rsidP="00D50B11">
      <w:pPr>
        <w:numPr>
          <w:ilvl w:val="2"/>
          <w:numId w:val="22"/>
        </w:numPr>
        <w:rPr>
          <w:iCs/>
        </w:rPr>
      </w:pPr>
      <w:r w:rsidRPr="00D50B11">
        <w:rPr>
          <w:iCs/>
        </w:rPr>
        <w:t>uEMobilityLevel: Enum</w:t>
      </w:r>
    </w:p>
    <w:p w:rsidR="00BE35E3" w:rsidRPr="00BE35E3" w:rsidRDefault="00BE35E3" w:rsidP="00BE35E3">
      <w:pPr>
        <w:numPr>
          <w:ilvl w:val="1"/>
          <w:numId w:val="22"/>
        </w:numPr>
        <w:rPr>
          <w:iCs/>
        </w:rPr>
      </w:pPr>
      <w:r w:rsidRPr="00D81762">
        <w:rPr>
          <w:b/>
          <w:iCs/>
        </w:rPr>
        <w:t>To support service transaction affinity and anti-affinity</w:t>
      </w:r>
      <w:r w:rsidRPr="00BE35E3">
        <w:rPr>
          <w:iCs/>
        </w:rPr>
        <w:t xml:space="preserve">, UEs with the same service transaction affinity should be </w:t>
      </w:r>
      <w:r>
        <w:rPr>
          <w:iCs/>
          <w:lang w:eastAsia="zh-CN"/>
        </w:rPr>
        <w:t>modelled i</w:t>
      </w:r>
      <w:r w:rsidRPr="00BE35E3">
        <w:rPr>
          <w:iCs/>
        </w:rPr>
        <w:t xml:space="preserve">n the same network UE group, UEs without the same service transaction affinity should be </w:t>
      </w:r>
      <w:r>
        <w:rPr>
          <w:iCs/>
        </w:rPr>
        <w:t>modelled</w:t>
      </w:r>
      <w:r w:rsidRPr="00BE35E3">
        <w:rPr>
          <w:iCs/>
        </w:rPr>
        <w:t xml:space="preserve"> in different UE groups</w:t>
      </w:r>
      <w:r w:rsidR="00A42CED">
        <w:rPr>
          <w:iCs/>
        </w:rPr>
        <w:t xml:space="preserve">, </w:t>
      </w:r>
      <w:r w:rsidR="00A42CED" w:rsidRPr="00BE35E3">
        <w:rPr>
          <w:iCs/>
        </w:rPr>
        <w:t>and UEs with the same service transaction anti-affinity sh</w:t>
      </w:r>
      <w:r w:rsidR="00A42CED">
        <w:rPr>
          <w:iCs/>
        </w:rPr>
        <w:t>all</w:t>
      </w:r>
      <w:r w:rsidR="00A42CED" w:rsidRPr="00BE35E3">
        <w:rPr>
          <w:iCs/>
        </w:rPr>
        <w:t xml:space="preserve"> be </w:t>
      </w:r>
      <w:r w:rsidR="00A42CED">
        <w:rPr>
          <w:iCs/>
        </w:rPr>
        <w:t>modelled</w:t>
      </w:r>
      <w:r w:rsidR="00A42CED" w:rsidRPr="00BE35E3">
        <w:rPr>
          <w:iCs/>
        </w:rPr>
        <w:t xml:space="preserve"> in different UE groups</w:t>
      </w:r>
      <w:r w:rsidRPr="00BE35E3">
        <w:rPr>
          <w:iCs/>
        </w:rPr>
        <w:t>.</w:t>
      </w:r>
    </w:p>
    <w:p w:rsidR="00D50B11" w:rsidRPr="00D50B11" w:rsidRDefault="003550B4" w:rsidP="00D50B11">
      <w:pPr>
        <w:numPr>
          <w:ilvl w:val="1"/>
          <w:numId w:val="22"/>
        </w:numPr>
        <w:rPr>
          <w:iCs/>
        </w:rPr>
      </w:pPr>
      <w:r>
        <w:rPr>
          <w:iCs/>
        </w:rPr>
        <w:t>For some scenarios, i</w:t>
      </w:r>
      <w:r w:rsidR="00D50B11">
        <w:rPr>
          <w:iCs/>
        </w:rPr>
        <w:t xml:space="preserve">f there is only one </w:t>
      </w:r>
      <w:r w:rsidR="0084280C">
        <w:rPr>
          <w:iCs/>
        </w:rPr>
        <w:t>coverage</w:t>
      </w:r>
      <w:r w:rsidR="00D50B11">
        <w:rPr>
          <w:iCs/>
        </w:rPr>
        <w:t xml:space="preserve"> area </w:t>
      </w:r>
      <w:r w:rsidR="00BE35E3">
        <w:rPr>
          <w:iCs/>
        </w:rPr>
        <w:t xml:space="preserve">instance </w:t>
      </w:r>
      <w:r w:rsidR="00D50B11">
        <w:rPr>
          <w:iCs/>
        </w:rPr>
        <w:t xml:space="preserve">and one UE group </w:t>
      </w:r>
      <w:r w:rsidR="00BE35E3">
        <w:rPr>
          <w:iCs/>
        </w:rPr>
        <w:t>instance contained by</w:t>
      </w:r>
      <w:r w:rsidR="00D50B11">
        <w:rPr>
          <w:iCs/>
        </w:rPr>
        <w:t xml:space="preserve"> </w:t>
      </w:r>
      <w:r w:rsidR="00BE35E3">
        <w:rPr>
          <w:iCs/>
        </w:rPr>
        <w:t>one</w:t>
      </w:r>
      <w:r w:rsidR="00D50B11">
        <w:rPr>
          <w:iCs/>
        </w:rPr>
        <w:t xml:space="preserve"> </w:t>
      </w:r>
      <w:r w:rsidR="00D81762">
        <w:rPr>
          <w:iCs/>
        </w:rPr>
        <w:t xml:space="preserve">RAN domain </w:t>
      </w:r>
      <w:r w:rsidR="00D50B11">
        <w:rPr>
          <w:iCs/>
        </w:rPr>
        <w:t>SliceProfile</w:t>
      </w:r>
      <w:r w:rsidR="00BE35E3">
        <w:rPr>
          <w:iCs/>
        </w:rPr>
        <w:t xml:space="preserve"> instance</w:t>
      </w:r>
      <w:r w:rsidR="00D50B11">
        <w:rPr>
          <w:iCs/>
        </w:rPr>
        <w:t xml:space="preserve">, </w:t>
      </w:r>
      <w:r w:rsidR="00D50B11" w:rsidRPr="00FC58A9">
        <w:rPr>
          <w:iCs/>
        </w:rPr>
        <w:t xml:space="preserve">it is assumed that </w:t>
      </w:r>
      <w:r w:rsidR="00D50B11">
        <w:rPr>
          <w:iCs/>
        </w:rPr>
        <w:t xml:space="preserve">all </w:t>
      </w:r>
      <w:r w:rsidR="00D50B11" w:rsidRPr="00FC58A9">
        <w:rPr>
          <w:iCs/>
        </w:rPr>
        <w:t xml:space="preserve">UEs are randomly distributed (for example, evenly distributed) </w:t>
      </w:r>
      <w:r w:rsidR="00D50B11">
        <w:rPr>
          <w:iCs/>
        </w:rPr>
        <w:t xml:space="preserve">in the whole </w:t>
      </w:r>
      <w:r w:rsidR="00D81762">
        <w:rPr>
          <w:iCs/>
        </w:rPr>
        <w:t xml:space="preserve">RAN domain </w:t>
      </w:r>
      <w:r w:rsidR="00D50B11">
        <w:rPr>
          <w:iCs/>
        </w:rPr>
        <w:t xml:space="preserve">coverage area </w:t>
      </w:r>
      <w:r w:rsidR="00D50B11" w:rsidRPr="00FC58A9">
        <w:rPr>
          <w:iCs/>
        </w:rPr>
        <w:t>according to a certain probability distribution.</w:t>
      </w:r>
    </w:p>
    <w:p w:rsidR="00F036A7" w:rsidRPr="00D55747" w:rsidRDefault="00F036A7" w:rsidP="00F036A7">
      <w:pPr>
        <w:numPr>
          <w:ilvl w:val="0"/>
          <w:numId w:val="22"/>
        </w:numPr>
        <w:rPr>
          <w:b/>
          <w:iCs/>
        </w:rPr>
      </w:pPr>
      <w:r w:rsidRPr="00D55747">
        <w:rPr>
          <w:b/>
          <w:iCs/>
        </w:rPr>
        <w:t>To support multiple service flows used by UE, there may be multiple service flows used by one UE group.</w:t>
      </w:r>
    </w:p>
    <w:p w:rsidR="00CF4D55" w:rsidRPr="00D50B11" w:rsidRDefault="00D50B11" w:rsidP="00F036A7">
      <w:pPr>
        <w:numPr>
          <w:ilvl w:val="1"/>
          <w:numId w:val="22"/>
        </w:numPr>
        <w:rPr>
          <w:b/>
          <w:iCs/>
        </w:rPr>
      </w:pPr>
      <w:r w:rsidRPr="00D50B11">
        <w:rPr>
          <w:b/>
          <w:iCs/>
        </w:rPr>
        <w:t>S</w:t>
      </w:r>
      <w:r w:rsidR="00F036A7" w:rsidRPr="00D50B11">
        <w:rPr>
          <w:b/>
          <w:iCs/>
        </w:rPr>
        <w:t xml:space="preserve">ervice flow </w:t>
      </w:r>
      <w:r w:rsidRPr="00D50B11">
        <w:rPr>
          <w:b/>
          <w:iCs/>
        </w:rPr>
        <w:t>is</w:t>
      </w:r>
      <w:r w:rsidR="00F036A7" w:rsidRPr="00D50B11">
        <w:rPr>
          <w:b/>
          <w:iCs/>
        </w:rPr>
        <w:t xml:space="preserve"> described by the following attributes: </w:t>
      </w:r>
    </w:p>
    <w:p w:rsidR="00C90657" w:rsidRPr="00C90657" w:rsidRDefault="00C90657" w:rsidP="00C90657">
      <w:pPr>
        <w:numPr>
          <w:ilvl w:val="2"/>
          <w:numId w:val="26"/>
        </w:numPr>
        <w:rPr>
          <w:iCs/>
        </w:rPr>
      </w:pPr>
      <w:r w:rsidRPr="00C90657">
        <w:rPr>
          <w:iCs/>
        </w:rPr>
        <w:t>serviceFlowName: string</w:t>
      </w:r>
    </w:p>
    <w:p w:rsidR="004C0D73" w:rsidRPr="00D50B11" w:rsidRDefault="004C0D73" w:rsidP="004C0D73">
      <w:pPr>
        <w:numPr>
          <w:ilvl w:val="2"/>
          <w:numId w:val="26"/>
        </w:numPr>
        <w:rPr>
          <w:iCs/>
        </w:rPr>
      </w:pPr>
      <w:r w:rsidRPr="00D50B11">
        <w:rPr>
          <w:iCs/>
        </w:rPr>
        <w:t>serviceType: ENUM</w:t>
      </w:r>
    </w:p>
    <w:p w:rsidR="00C90657" w:rsidRPr="00C90657" w:rsidRDefault="00C90657" w:rsidP="00C90657">
      <w:pPr>
        <w:numPr>
          <w:ilvl w:val="2"/>
          <w:numId w:val="26"/>
        </w:numPr>
        <w:rPr>
          <w:iCs/>
        </w:rPr>
      </w:pPr>
      <w:r w:rsidRPr="00C90657">
        <w:rPr>
          <w:iCs/>
        </w:rPr>
        <w:t>packetDelayBudget: int</w:t>
      </w:r>
    </w:p>
    <w:p w:rsidR="00C90657" w:rsidRPr="00C90657" w:rsidRDefault="00C90657" w:rsidP="00C90657">
      <w:pPr>
        <w:numPr>
          <w:ilvl w:val="2"/>
          <w:numId w:val="26"/>
        </w:numPr>
        <w:rPr>
          <w:iCs/>
        </w:rPr>
      </w:pPr>
      <w:r w:rsidRPr="00C90657">
        <w:rPr>
          <w:iCs/>
        </w:rPr>
        <w:t>packetIntervalTime: int</w:t>
      </w:r>
    </w:p>
    <w:p w:rsidR="00C90657" w:rsidRPr="00C90657" w:rsidRDefault="00C90657" w:rsidP="00C90657">
      <w:pPr>
        <w:numPr>
          <w:ilvl w:val="2"/>
          <w:numId w:val="26"/>
        </w:numPr>
        <w:rPr>
          <w:iCs/>
        </w:rPr>
      </w:pPr>
      <w:r w:rsidRPr="00C90657">
        <w:rPr>
          <w:iCs/>
        </w:rPr>
        <w:t>serviceFlowDirection: ENUM</w:t>
      </w:r>
    </w:p>
    <w:p w:rsidR="00FE32BD" w:rsidRDefault="00C90657" w:rsidP="00C90657">
      <w:pPr>
        <w:numPr>
          <w:ilvl w:val="2"/>
          <w:numId w:val="26"/>
        </w:numPr>
        <w:rPr>
          <w:iCs/>
        </w:rPr>
      </w:pPr>
      <w:r>
        <w:rPr>
          <w:iCs/>
        </w:rPr>
        <w:t>maxPktS</w:t>
      </w:r>
      <w:r w:rsidRPr="00C90657">
        <w:rPr>
          <w:iCs/>
        </w:rPr>
        <w:t xml:space="preserve">ize: </w:t>
      </w:r>
      <w:r>
        <w:rPr>
          <w:iCs/>
        </w:rPr>
        <w:t>int</w:t>
      </w:r>
    </w:p>
    <w:p w:rsidR="0084280C" w:rsidRDefault="0084280C" w:rsidP="00782940"/>
    <w:p w:rsidR="00D81762" w:rsidRDefault="004568AB" w:rsidP="00782940">
      <w:pPr>
        <w:rPr>
          <w:b/>
        </w:rPr>
      </w:pPr>
      <w:r>
        <w:rPr>
          <w:b/>
        </w:rPr>
        <w:t xml:space="preserve">The group is asked to endorse the </w:t>
      </w:r>
      <w:r w:rsidR="00F01BA5">
        <w:rPr>
          <w:b/>
        </w:rPr>
        <w:t xml:space="preserve">RAN domain </w:t>
      </w:r>
      <w:r w:rsidR="009E0E0F">
        <w:rPr>
          <w:b/>
        </w:rPr>
        <w:t xml:space="preserve">SliceProfile related </w:t>
      </w:r>
      <w:r>
        <w:rPr>
          <w:b/>
        </w:rPr>
        <w:t xml:space="preserve">NRM modelling </w:t>
      </w:r>
      <w:r w:rsidR="00D81762">
        <w:rPr>
          <w:b/>
        </w:rPr>
        <w:t xml:space="preserve">approach </w:t>
      </w:r>
      <w:r w:rsidR="009E0E0F">
        <w:rPr>
          <w:b/>
        </w:rPr>
        <w:t>as above.</w:t>
      </w:r>
    </w:p>
    <w:p w:rsidR="00D81762" w:rsidRDefault="00D81762" w:rsidP="00782940">
      <w:pPr>
        <w:rPr>
          <w:b/>
        </w:rPr>
      </w:pPr>
    </w:p>
    <w:p w:rsidR="00782940" w:rsidRPr="00A9305D" w:rsidRDefault="00F01BA5" w:rsidP="00782940">
      <w:pPr>
        <w:rPr>
          <w:b/>
          <w:lang w:val="en-US"/>
        </w:rPr>
      </w:pPr>
      <w:r>
        <w:rPr>
          <w:b/>
        </w:rPr>
        <w:t>A concrete CR for TS 28.541 NRM is also proposed at this meeting.</w:t>
      </w:r>
    </w:p>
    <w:p w:rsidR="00782940" w:rsidRDefault="00782940" w:rsidP="00782940"/>
    <w:bookmarkEnd w:id="1"/>
    <w:bookmarkEnd w:id="2"/>
    <w:bookmarkEnd w:id="3"/>
    <w:bookmarkEnd w:id="4"/>
    <w:p w:rsidR="00616CAD" w:rsidRDefault="00616CAD" w:rsidP="00616CAD"/>
    <w:sectPr w:rsidR="00616C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150" w:rsidRDefault="00FB7150">
      <w:r>
        <w:separator/>
      </w:r>
    </w:p>
  </w:endnote>
  <w:endnote w:type="continuationSeparator" w:id="0">
    <w:p w:rsidR="00FB7150" w:rsidRDefault="00FB7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150" w:rsidRDefault="00FB7150">
      <w:r>
        <w:separator/>
      </w:r>
    </w:p>
  </w:footnote>
  <w:footnote w:type="continuationSeparator" w:id="0">
    <w:p w:rsidR="00FB7150" w:rsidRDefault="00FB7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3F619C"/>
    <w:multiLevelType w:val="hybridMultilevel"/>
    <w:tmpl w:val="B68814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B32F04"/>
    <w:multiLevelType w:val="hybridMultilevel"/>
    <w:tmpl w:val="588441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A75640E"/>
    <w:multiLevelType w:val="hybridMultilevel"/>
    <w:tmpl w:val="7F4046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3602EE"/>
    <w:multiLevelType w:val="hybridMultilevel"/>
    <w:tmpl w:val="1D883A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12A615F"/>
    <w:multiLevelType w:val="hybridMultilevel"/>
    <w:tmpl w:val="AAE21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9"/>
  </w:num>
  <w:num w:numId="7">
    <w:abstractNumId w:val="10"/>
  </w:num>
  <w:num w:numId="8">
    <w:abstractNumId w:val="24"/>
  </w:num>
  <w:num w:numId="9">
    <w:abstractNumId w:val="19"/>
  </w:num>
  <w:num w:numId="10">
    <w:abstractNumId w:val="23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22"/>
  </w:num>
  <w:num w:numId="22">
    <w:abstractNumId w:val="12"/>
  </w:num>
  <w:num w:numId="23">
    <w:abstractNumId w:val="20"/>
  </w:num>
  <w:num w:numId="24">
    <w:abstractNumId w:val="15"/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4722"/>
    <w:rsid w:val="000819D8"/>
    <w:rsid w:val="000934A6"/>
    <w:rsid w:val="000A2C6C"/>
    <w:rsid w:val="000A4660"/>
    <w:rsid w:val="000D1B5B"/>
    <w:rsid w:val="000F6074"/>
    <w:rsid w:val="0010401F"/>
    <w:rsid w:val="00152A5A"/>
    <w:rsid w:val="00170CC6"/>
    <w:rsid w:val="00173FA3"/>
    <w:rsid w:val="0017469A"/>
    <w:rsid w:val="00174AA0"/>
    <w:rsid w:val="001861E5"/>
    <w:rsid w:val="00191A7F"/>
    <w:rsid w:val="001A0240"/>
    <w:rsid w:val="001A07FC"/>
    <w:rsid w:val="001B1652"/>
    <w:rsid w:val="001B422A"/>
    <w:rsid w:val="001C3EC8"/>
    <w:rsid w:val="001D2BD4"/>
    <w:rsid w:val="001D6911"/>
    <w:rsid w:val="001E649E"/>
    <w:rsid w:val="00201947"/>
    <w:rsid w:val="0020395B"/>
    <w:rsid w:val="002062C0"/>
    <w:rsid w:val="00207162"/>
    <w:rsid w:val="00215130"/>
    <w:rsid w:val="00225311"/>
    <w:rsid w:val="00230002"/>
    <w:rsid w:val="00244C9A"/>
    <w:rsid w:val="00261AD5"/>
    <w:rsid w:val="002820B4"/>
    <w:rsid w:val="002A1857"/>
    <w:rsid w:val="002D205C"/>
    <w:rsid w:val="002D6B49"/>
    <w:rsid w:val="002D7317"/>
    <w:rsid w:val="002D7E63"/>
    <w:rsid w:val="002E2E02"/>
    <w:rsid w:val="002F623C"/>
    <w:rsid w:val="002F68DE"/>
    <w:rsid w:val="00306195"/>
    <w:rsid w:val="0030628A"/>
    <w:rsid w:val="00340A46"/>
    <w:rsid w:val="003413D5"/>
    <w:rsid w:val="00350B4A"/>
    <w:rsid w:val="0035122B"/>
    <w:rsid w:val="00353451"/>
    <w:rsid w:val="003550B4"/>
    <w:rsid w:val="003570B1"/>
    <w:rsid w:val="003660E4"/>
    <w:rsid w:val="00367023"/>
    <w:rsid w:val="00371032"/>
    <w:rsid w:val="00371B44"/>
    <w:rsid w:val="00396075"/>
    <w:rsid w:val="00397126"/>
    <w:rsid w:val="0039751C"/>
    <w:rsid w:val="003C122B"/>
    <w:rsid w:val="003C5A97"/>
    <w:rsid w:val="003E5682"/>
    <w:rsid w:val="003E5E41"/>
    <w:rsid w:val="003F52B2"/>
    <w:rsid w:val="00406BA6"/>
    <w:rsid w:val="00440414"/>
    <w:rsid w:val="004568AB"/>
    <w:rsid w:val="0045777E"/>
    <w:rsid w:val="004664BA"/>
    <w:rsid w:val="004A7E18"/>
    <w:rsid w:val="004C0D73"/>
    <w:rsid w:val="004C31D2"/>
    <w:rsid w:val="004C6575"/>
    <w:rsid w:val="004D55C2"/>
    <w:rsid w:val="004E3452"/>
    <w:rsid w:val="004F2F37"/>
    <w:rsid w:val="004F2FB4"/>
    <w:rsid w:val="00515D84"/>
    <w:rsid w:val="00521131"/>
    <w:rsid w:val="00525056"/>
    <w:rsid w:val="00526D6B"/>
    <w:rsid w:val="005410F6"/>
    <w:rsid w:val="005433B3"/>
    <w:rsid w:val="005729C4"/>
    <w:rsid w:val="005748EA"/>
    <w:rsid w:val="00590E25"/>
    <w:rsid w:val="00591DEB"/>
    <w:rsid w:val="0059227B"/>
    <w:rsid w:val="00593AA4"/>
    <w:rsid w:val="005A48D9"/>
    <w:rsid w:val="005B0966"/>
    <w:rsid w:val="005B4233"/>
    <w:rsid w:val="005B795D"/>
    <w:rsid w:val="005F40F4"/>
    <w:rsid w:val="00613820"/>
    <w:rsid w:val="00616CAD"/>
    <w:rsid w:val="0063626A"/>
    <w:rsid w:val="006453BB"/>
    <w:rsid w:val="00645BC1"/>
    <w:rsid w:val="00652248"/>
    <w:rsid w:val="00657B80"/>
    <w:rsid w:val="00660B87"/>
    <w:rsid w:val="0067164F"/>
    <w:rsid w:val="006717D0"/>
    <w:rsid w:val="00675B3C"/>
    <w:rsid w:val="00686C43"/>
    <w:rsid w:val="006A5C69"/>
    <w:rsid w:val="006B05E0"/>
    <w:rsid w:val="006D340A"/>
    <w:rsid w:val="0070024F"/>
    <w:rsid w:val="00707398"/>
    <w:rsid w:val="007232C8"/>
    <w:rsid w:val="00734FED"/>
    <w:rsid w:val="00760BB0"/>
    <w:rsid w:val="00782940"/>
    <w:rsid w:val="007B4E6C"/>
    <w:rsid w:val="007C27B0"/>
    <w:rsid w:val="007D1033"/>
    <w:rsid w:val="007E6204"/>
    <w:rsid w:val="007F2067"/>
    <w:rsid w:val="007F300B"/>
    <w:rsid w:val="008014C3"/>
    <w:rsid w:val="00814DE0"/>
    <w:rsid w:val="00836FAC"/>
    <w:rsid w:val="0084280C"/>
    <w:rsid w:val="00867D4B"/>
    <w:rsid w:val="00874FE8"/>
    <w:rsid w:val="00876B9A"/>
    <w:rsid w:val="008771BC"/>
    <w:rsid w:val="00896F12"/>
    <w:rsid w:val="008A066F"/>
    <w:rsid w:val="008B0248"/>
    <w:rsid w:val="008C0F33"/>
    <w:rsid w:val="008D21A5"/>
    <w:rsid w:val="008E1C59"/>
    <w:rsid w:val="00926ABD"/>
    <w:rsid w:val="009432CF"/>
    <w:rsid w:val="00946C93"/>
    <w:rsid w:val="00947F4E"/>
    <w:rsid w:val="00956EF9"/>
    <w:rsid w:val="00966D47"/>
    <w:rsid w:val="009729F2"/>
    <w:rsid w:val="009B37B9"/>
    <w:rsid w:val="009C0DED"/>
    <w:rsid w:val="009C7C10"/>
    <w:rsid w:val="009D6EFE"/>
    <w:rsid w:val="009E0E0F"/>
    <w:rsid w:val="009F43F5"/>
    <w:rsid w:val="00A1006D"/>
    <w:rsid w:val="00A32EB0"/>
    <w:rsid w:val="00A37D7F"/>
    <w:rsid w:val="00A42CED"/>
    <w:rsid w:val="00A43EDD"/>
    <w:rsid w:val="00A564C7"/>
    <w:rsid w:val="00A62843"/>
    <w:rsid w:val="00A84A94"/>
    <w:rsid w:val="00A9305D"/>
    <w:rsid w:val="00AC13AC"/>
    <w:rsid w:val="00AD1DAA"/>
    <w:rsid w:val="00AE586D"/>
    <w:rsid w:val="00AF1E23"/>
    <w:rsid w:val="00AF4FBF"/>
    <w:rsid w:val="00B01AFF"/>
    <w:rsid w:val="00B05CC7"/>
    <w:rsid w:val="00B244C0"/>
    <w:rsid w:val="00B27E39"/>
    <w:rsid w:val="00B33690"/>
    <w:rsid w:val="00B350D8"/>
    <w:rsid w:val="00B356E9"/>
    <w:rsid w:val="00B4377A"/>
    <w:rsid w:val="00B66FDA"/>
    <w:rsid w:val="00B8783C"/>
    <w:rsid w:val="00B879F0"/>
    <w:rsid w:val="00BE35E3"/>
    <w:rsid w:val="00BE3AF1"/>
    <w:rsid w:val="00BE6D0C"/>
    <w:rsid w:val="00C022E3"/>
    <w:rsid w:val="00C0322D"/>
    <w:rsid w:val="00C1399A"/>
    <w:rsid w:val="00C2245D"/>
    <w:rsid w:val="00C27E44"/>
    <w:rsid w:val="00C3578F"/>
    <w:rsid w:val="00C4712D"/>
    <w:rsid w:val="00C85178"/>
    <w:rsid w:val="00C90657"/>
    <w:rsid w:val="00C94F55"/>
    <w:rsid w:val="00CA29A6"/>
    <w:rsid w:val="00CA7D62"/>
    <w:rsid w:val="00CB0470"/>
    <w:rsid w:val="00CB07A8"/>
    <w:rsid w:val="00CB5008"/>
    <w:rsid w:val="00CC3E85"/>
    <w:rsid w:val="00CF1606"/>
    <w:rsid w:val="00CF4D55"/>
    <w:rsid w:val="00D01B9A"/>
    <w:rsid w:val="00D2163B"/>
    <w:rsid w:val="00D253B6"/>
    <w:rsid w:val="00D400E7"/>
    <w:rsid w:val="00D437FF"/>
    <w:rsid w:val="00D50B11"/>
    <w:rsid w:val="00D5130C"/>
    <w:rsid w:val="00D55747"/>
    <w:rsid w:val="00D62265"/>
    <w:rsid w:val="00D8155D"/>
    <w:rsid w:val="00D81762"/>
    <w:rsid w:val="00D8512E"/>
    <w:rsid w:val="00DA1E58"/>
    <w:rsid w:val="00DB7CB4"/>
    <w:rsid w:val="00DE40B5"/>
    <w:rsid w:val="00DE4EF2"/>
    <w:rsid w:val="00DF2C0E"/>
    <w:rsid w:val="00E06FFB"/>
    <w:rsid w:val="00E26359"/>
    <w:rsid w:val="00E30155"/>
    <w:rsid w:val="00E364EE"/>
    <w:rsid w:val="00E534FB"/>
    <w:rsid w:val="00E562C8"/>
    <w:rsid w:val="00EC0BC3"/>
    <w:rsid w:val="00ED4954"/>
    <w:rsid w:val="00EE0943"/>
    <w:rsid w:val="00EE33A2"/>
    <w:rsid w:val="00EF5D64"/>
    <w:rsid w:val="00F01BA5"/>
    <w:rsid w:val="00F02E2C"/>
    <w:rsid w:val="00F03095"/>
    <w:rsid w:val="00F036A7"/>
    <w:rsid w:val="00F15ADC"/>
    <w:rsid w:val="00F2262D"/>
    <w:rsid w:val="00F44F73"/>
    <w:rsid w:val="00F557D9"/>
    <w:rsid w:val="00F67A1C"/>
    <w:rsid w:val="00F82C5B"/>
    <w:rsid w:val="00FB582A"/>
    <w:rsid w:val="00FB7150"/>
    <w:rsid w:val="00FC58A9"/>
    <w:rsid w:val="00FE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20</cp:revision>
  <cp:lastPrinted>1899-12-31T16:00:00Z</cp:lastPrinted>
  <dcterms:created xsi:type="dcterms:W3CDTF">2020-09-22T01:41:00Z</dcterms:created>
  <dcterms:modified xsi:type="dcterms:W3CDTF">2020-10-02T10:17:00Z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(3)Dqd1Rewuy/G90scBorQIchsTRtDSvbKJem2SI/ggUJuNZkQleXA/VOf29cD2escpptAUmJZP
tTYIhEBLXRnjEHUF29wU4P3/LIYtIceYKIteIedKUhS+nnMAuJn7N7jiIL596SbNM0hbQZ28
odAHr1AICB2C4+WwYBWEkRbH/XQfZsWvtqIUGrT224LqO4nvTp2RID4+TwL8JHB/3oaDgy5s
dnYfFQMqg4PtDGc06o</vt:lpwstr>
  </property>
  <property fmtid="{D5CDD505-2E9C-101B-9397-08002B2CF9AE}" pid="3" name="_2015_ms_pID_7253431">
    <vt:lpwstr>NhuMV9pouqUHr330VeS6prYyjIZYIVBIg0C+F/CG+cr8EHOOvUjPCj
sT197MUlmDvoHFbN7wbnI2TfryKg+RNI0I2qZ8RxpiQSbqdwzKvasxdt/7ZwPjWj6ztDBuQ0
fpM86FkD6MhiFzvl3SfJryQseSyUeg79ObolD6uB0yK+Jx2tA42VAajHRv9Iip+xw0iRRoS2
6eWvuurpI9rNvG7xVY7NSBv78Zw8EwIfuNei</vt:lpwstr>
  </property>
  <property fmtid="{D5CDD505-2E9C-101B-9397-08002B2CF9AE}" pid="4" name="_2015_ms_pID_7253432">
    <vt:lpwstr>ng==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1601025934</vt:lpwstr>
  </property>
</Properties>
</file>